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5765BD" w:rsidTr="005765BD">
        <w:tc>
          <w:tcPr>
            <w:tcW w:w="4248" w:type="dxa"/>
            <w:vAlign w:val="center"/>
          </w:tcPr>
          <w:p w:rsidR="005765BD" w:rsidRDefault="005765BD" w:rsidP="005765BD">
            <w:pPr>
              <w:jc w:val="center"/>
            </w:pPr>
            <w:r w:rsidRPr="005765BD">
              <w:rPr>
                <w:rFonts w:ascii="UT Sans Medium" w:hAnsi="UT Sans Medium"/>
                <w:noProof/>
              </w:rPr>
              <w:drawing>
                <wp:inline distT="0" distB="0" distL="0" distR="0" wp14:anchorId="081479F5" wp14:editId="14975B36">
                  <wp:extent cx="1975062" cy="695134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656" cy="74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5765BD" w:rsidRDefault="005765BD" w:rsidP="005765BD">
            <w:pPr>
              <w:jc w:val="center"/>
            </w:pPr>
            <w:r w:rsidRPr="005765BD">
              <w:rPr>
                <w:rFonts w:ascii="UT Sans Medium" w:hAnsi="UT Sans Medium"/>
                <w:color w:val="0070C0"/>
              </w:rPr>
              <w:t>The Spring Convention of Electronic Packaging Community</w:t>
            </w:r>
          </w:p>
        </w:tc>
      </w:tr>
    </w:tbl>
    <w:p w:rsidR="008D4214" w:rsidRPr="00B83CE3" w:rsidRDefault="001773E5">
      <w:pPr>
        <w:rPr>
          <w:rFonts w:ascii="UT Sans Medium" w:hAnsi="UT Sans Medium"/>
          <w:color w:val="0070C0"/>
        </w:rPr>
      </w:pPr>
      <w:r w:rsidRPr="00B83CE3">
        <w:rPr>
          <w:rFonts w:ascii="UT Sans Medium" w:hAnsi="UT Sans Medium"/>
          <w:color w:val="0070C0"/>
        </w:rPr>
        <w:t>Ce este TIE?</w:t>
      </w:r>
    </w:p>
    <w:p w:rsidR="005765BD" w:rsidRDefault="001773E5" w:rsidP="001773E5">
      <w:pPr>
        <w:pStyle w:val="ListParagraph"/>
        <w:numPr>
          <w:ilvl w:val="0"/>
          <w:numId w:val="1"/>
        </w:numPr>
        <w:rPr>
          <w:lang w:val="ro-RO"/>
        </w:rPr>
      </w:pPr>
      <w:r>
        <w:t xml:space="preserve">TIE </w:t>
      </w:r>
      <w:r w:rsidRPr="001773E5">
        <w:rPr>
          <w:lang w:val="ro-RO"/>
        </w:rPr>
        <w:t xml:space="preserve">înseamnă </w:t>
      </w:r>
      <w:r w:rsidRPr="00DE7850">
        <w:rPr>
          <w:rFonts w:ascii="UT Sans Medium" w:hAnsi="UT Sans Medium"/>
          <w:color w:val="0070C0"/>
          <w:lang w:val="ro-RO"/>
        </w:rPr>
        <w:t>T</w:t>
      </w:r>
      <w:r w:rsidRPr="001773E5">
        <w:rPr>
          <w:lang w:val="ro-RO"/>
        </w:rPr>
        <w:t xml:space="preserve">ehnici de </w:t>
      </w:r>
      <w:r w:rsidRPr="00DE7850">
        <w:rPr>
          <w:rFonts w:ascii="UT Sans Medium" w:hAnsi="UT Sans Medium"/>
          <w:color w:val="0070C0"/>
          <w:lang w:val="ro-RO"/>
        </w:rPr>
        <w:t>I</w:t>
      </w:r>
      <w:r w:rsidRPr="001773E5">
        <w:rPr>
          <w:lang w:val="ro-RO"/>
        </w:rPr>
        <w:t xml:space="preserve">nterconectare în </w:t>
      </w:r>
      <w:r w:rsidRPr="00DE7850">
        <w:rPr>
          <w:rFonts w:ascii="UT Sans Medium" w:hAnsi="UT Sans Medium"/>
          <w:color w:val="0070C0"/>
          <w:lang w:val="ro-RO"/>
        </w:rPr>
        <w:t>E</w:t>
      </w:r>
      <w:r w:rsidRPr="001773E5">
        <w:rPr>
          <w:lang w:val="ro-RO"/>
        </w:rPr>
        <w:t>lectronică</w:t>
      </w:r>
    </w:p>
    <w:p w:rsidR="00B87DBB" w:rsidRPr="001773E5" w:rsidRDefault="00B87DBB" w:rsidP="001773E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</w:t>
      </w:r>
      <w:r w:rsidR="00BB2095">
        <w:rPr>
          <w:lang w:val="ro-RO"/>
        </w:rPr>
        <w:t>ste un e</w:t>
      </w:r>
      <w:r>
        <w:rPr>
          <w:lang w:val="ro-RO"/>
        </w:rPr>
        <w:t>veniment studențesc</w:t>
      </w:r>
      <w:r w:rsidR="008F1553">
        <w:rPr>
          <w:lang w:val="ro-RO"/>
        </w:rPr>
        <w:t>,</w:t>
      </w:r>
      <w:r>
        <w:rPr>
          <w:lang w:val="ro-RO"/>
        </w:rPr>
        <w:t xml:space="preserve"> științific și tehnic</w:t>
      </w:r>
      <w:r w:rsidR="008F1553">
        <w:rPr>
          <w:lang w:val="ro-RO"/>
        </w:rPr>
        <w:t>,</w:t>
      </w:r>
      <w:r>
        <w:rPr>
          <w:lang w:val="ro-RO"/>
        </w:rPr>
        <w:t xml:space="preserve"> </w:t>
      </w:r>
      <w:r w:rsidR="00BB2095">
        <w:rPr>
          <w:lang w:val="ro-RO"/>
        </w:rPr>
        <w:t xml:space="preserve">care </w:t>
      </w:r>
      <w:r>
        <w:rPr>
          <w:lang w:val="ro-RO"/>
        </w:rPr>
        <w:t xml:space="preserve">are ca scop principal evaluarea și certificarea nivelului cunoștințelor și abilităților studenților în domeniul proiectării tehnologice asistate de calculator (CAE-CAD-CAM) a plăcilor de circuite imprimate (PCB) și a modulelor electronice, cu accent atât pe tehnologia THT (tehnologie de montare </w:t>
      </w:r>
      <w:r w:rsidR="00514E96">
        <w:rPr>
          <w:lang w:val="ro-RO"/>
        </w:rPr>
        <w:t>prin</w:t>
      </w:r>
      <w:r>
        <w:rPr>
          <w:lang w:val="ro-RO"/>
        </w:rPr>
        <w:t xml:space="preserve"> găuri) cât și pe tehnologia SMT (tehnologie de montare pe suprafață).</w:t>
      </w:r>
    </w:p>
    <w:p w:rsidR="00CA0B46" w:rsidRPr="00B83CE3" w:rsidRDefault="00CA0B46" w:rsidP="00CA0B46">
      <w:pPr>
        <w:rPr>
          <w:rFonts w:ascii="UT Sans Medium" w:eastAsia="Times New Roman" w:hAnsi="UT Sans Medium"/>
          <w:color w:val="0070C0"/>
          <w:szCs w:val="24"/>
        </w:rPr>
      </w:pPr>
      <w:r w:rsidRPr="00B83CE3">
        <w:rPr>
          <w:rFonts w:ascii="UT Sans Medium" w:eastAsia="Times New Roman" w:hAnsi="UT Sans Medium"/>
          <w:color w:val="0070C0"/>
          <w:szCs w:val="24"/>
          <w:lang w:val="ro-RO"/>
        </w:rPr>
        <w:t>Scopu</w:t>
      </w:r>
      <w:r w:rsidR="002115B5" w:rsidRPr="00B83CE3">
        <w:rPr>
          <w:rFonts w:ascii="UT Sans Medium" w:eastAsia="Times New Roman" w:hAnsi="UT Sans Medium"/>
          <w:color w:val="0070C0"/>
          <w:szCs w:val="24"/>
          <w:lang w:val="ro-RO"/>
        </w:rPr>
        <w:t>ri</w:t>
      </w:r>
      <w:r w:rsidRPr="00B83CE3">
        <w:rPr>
          <w:rFonts w:ascii="UT Sans Medium" w:eastAsia="Times New Roman" w:hAnsi="UT Sans Medium"/>
          <w:color w:val="0070C0"/>
          <w:szCs w:val="24"/>
          <w:lang w:val="ro-RO"/>
        </w:rPr>
        <w:t>l</w:t>
      </w:r>
      <w:r w:rsidR="002115B5" w:rsidRPr="00B83CE3">
        <w:rPr>
          <w:rFonts w:ascii="UT Sans Medium" w:eastAsia="Times New Roman" w:hAnsi="UT Sans Medium"/>
          <w:color w:val="0070C0"/>
          <w:szCs w:val="24"/>
          <w:lang w:val="ro-RO"/>
        </w:rPr>
        <w:t>e</w:t>
      </w:r>
      <w:r w:rsidRPr="00B83CE3">
        <w:rPr>
          <w:rFonts w:ascii="UT Sans Medium" w:eastAsia="Times New Roman" w:hAnsi="UT Sans Medium"/>
          <w:color w:val="0070C0"/>
          <w:szCs w:val="24"/>
          <w:lang w:val="ro-RO"/>
        </w:rPr>
        <w:t xml:space="preserve"> concursului:</w:t>
      </w:r>
    </w:p>
    <w:p w:rsidR="00CA0B46" w:rsidRPr="00CA0B46" w:rsidRDefault="00CA0B46" w:rsidP="00CA0B46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CA0B46">
        <w:rPr>
          <w:rFonts w:eastAsia="Times New Roman"/>
          <w:szCs w:val="24"/>
          <w:lang w:val="ro-RO"/>
        </w:rPr>
        <w:t xml:space="preserve">Trezirea interesului studenților în probleme de </w:t>
      </w:r>
      <w:r>
        <w:rPr>
          <w:rFonts w:eastAsia="Times New Roman"/>
          <w:szCs w:val="24"/>
          <w:lang w:val="ro-RO"/>
        </w:rPr>
        <w:t>electronic packaging</w:t>
      </w:r>
      <w:r w:rsidRPr="00CA0B46">
        <w:rPr>
          <w:rFonts w:eastAsia="Times New Roman"/>
          <w:szCs w:val="24"/>
          <w:lang w:val="ro-RO"/>
        </w:rPr>
        <w:t xml:space="preserve"> și structuri de interconectare </w:t>
      </w:r>
      <w:r>
        <w:rPr>
          <w:rFonts w:eastAsia="Times New Roman"/>
          <w:szCs w:val="24"/>
          <w:lang w:val="ro-RO"/>
        </w:rPr>
        <w:t>prin</w:t>
      </w:r>
      <w:r w:rsidRPr="00CA0B46">
        <w:rPr>
          <w:rFonts w:eastAsia="Times New Roman"/>
          <w:szCs w:val="24"/>
          <w:lang w:val="ro-RO"/>
        </w:rPr>
        <w:t xml:space="preserve"> PCB-uri</w:t>
      </w:r>
      <w:r w:rsidR="001669A9">
        <w:rPr>
          <w:rFonts w:eastAsia="Times New Roman"/>
          <w:szCs w:val="24"/>
          <w:lang w:val="ro-RO"/>
        </w:rPr>
        <w:t>;</w:t>
      </w:r>
    </w:p>
    <w:p w:rsidR="00CA0B46" w:rsidRPr="00CA0B46" w:rsidRDefault="00CA0B46" w:rsidP="00CA0B46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CA0B46">
        <w:rPr>
          <w:rFonts w:eastAsia="Times New Roman"/>
          <w:szCs w:val="24"/>
          <w:lang w:val="ro-RO"/>
        </w:rPr>
        <w:t>Evaluarea cunoștințelor într-un mediu competitiv</w:t>
      </w:r>
      <w:r w:rsidR="001669A9">
        <w:rPr>
          <w:rFonts w:eastAsia="Times New Roman"/>
          <w:szCs w:val="24"/>
          <w:lang w:val="ro-RO"/>
        </w:rPr>
        <w:t>;</w:t>
      </w:r>
    </w:p>
    <w:p w:rsidR="00CA0B46" w:rsidRPr="00CA0B46" w:rsidRDefault="00CA0B46" w:rsidP="00CA0B46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CA0B46">
        <w:rPr>
          <w:rFonts w:eastAsia="Times New Roman"/>
          <w:szCs w:val="24"/>
          <w:lang w:val="ro-RO"/>
        </w:rPr>
        <w:t>Certificarea de către industrie a competențelor CAD ale concurenților</w:t>
      </w:r>
      <w:r w:rsidR="001669A9">
        <w:rPr>
          <w:rFonts w:eastAsia="Times New Roman"/>
          <w:szCs w:val="24"/>
          <w:lang w:val="ro-RO"/>
        </w:rPr>
        <w:t>;</w:t>
      </w:r>
    </w:p>
    <w:p w:rsidR="00CA0B46" w:rsidRPr="00CA0B46" w:rsidRDefault="00CA0B46" w:rsidP="00CA0B46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CA0B46">
        <w:rPr>
          <w:rFonts w:eastAsia="Times New Roman"/>
          <w:szCs w:val="24"/>
          <w:lang w:val="ro-RO"/>
        </w:rPr>
        <w:t>Sprijinirea industriei electronice cu resurse umane profesionale</w:t>
      </w:r>
      <w:r w:rsidR="001669A9">
        <w:rPr>
          <w:rFonts w:eastAsia="Times New Roman"/>
          <w:szCs w:val="24"/>
          <w:lang w:val="ro-RO"/>
        </w:rPr>
        <w:t>.</w:t>
      </w:r>
    </w:p>
    <w:p w:rsidR="005765BD" w:rsidRPr="00B83CE3" w:rsidRDefault="00AF56AC">
      <w:pPr>
        <w:rPr>
          <w:rFonts w:ascii="UT Sans Medium" w:hAnsi="UT Sans Medium"/>
          <w:color w:val="0070C0"/>
        </w:rPr>
      </w:pPr>
      <w:r w:rsidRPr="00B83CE3">
        <w:rPr>
          <w:rFonts w:ascii="UT Sans Medium" w:hAnsi="UT Sans Medium"/>
          <w:color w:val="0070C0"/>
        </w:rPr>
        <w:t>Modul de organizare</w:t>
      </w:r>
    </w:p>
    <w:p w:rsidR="00E95F02" w:rsidRPr="00E95F02" w:rsidRDefault="00AF56AC" w:rsidP="00E95F02">
      <w:pPr>
        <w:pStyle w:val="ListParagraph"/>
        <w:numPr>
          <w:ilvl w:val="0"/>
          <w:numId w:val="2"/>
        </w:numPr>
        <w:rPr>
          <w:lang w:val="ro-RO"/>
        </w:rPr>
      </w:pPr>
      <w:r w:rsidRPr="00E95F02">
        <w:rPr>
          <w:lang w:val="ro-RO"/>
        </w:rPr>
        <w:t>Concursul are două etape:</w:t>
      </w:r>
    </w:p>
    <w:p w:rsidR="00E95F02" w:rsidRDefault="00E95F02" w:rsidP="004E3FB0">
      <w:pPr>
        <w:pStyle w:val="ListParagraph"/>
        <w:numPr>
          <w:ilvl w:val="1"/>
          <w:numId w:val="2"/>
        </w:numPr>
        <w:rPr>
          <w:lang w:val="ro-RO"/>
        </w:rPr>
      </w:pPr>
      <w:r w:rsidRPr="00E95F02">
        <w:rPr>
          <w:b/>
          <w:lang w:val="ro-RO"/>
        </w:rPr>
        <w:t>etapa</w:t>
      </w:r>
      <w:r w:rsidR="00AF56AC" w:rsidRPr="00E95F02">
        <w:rPr>
          <w:b/>
          <w:lang w:val="ro-RO"/>
        </w:rPr>
        <w:t xml:space="preserve"> local</w:t>
      </w:r>
      <w:r w:rsidRPr="00E95F02">
        <w:rPr>
          <w:b/>
          <w:lang w:val="ro-RO"/>
        </w:rPr>
        <w:t>ă</w:t>
      </w:r>
      <w:r w:rsidR="00AF56AC" w:rsidRPr="00E95F02">
        <w:rPr>
          <w:lang w:val="ro-RO"/>
        </w:rPr>
        <w:t xml:space="preserve"> care are loc în fiecare centru universitar interesat să participe la TIE</w:t>
      </w:r>
      <w:r>
        <w:rPr>
          <w:lang w:val="ro-RO"/>
        </w:rPr>
        <w:t xml:space="preserve"> și</w:t>
      </w:r>
      <w:r w:rsidRPr="00E95F02">
        <w:rPr>
          <w:lang w:val="ro-RO"/>
        </w:rPr>
        <w:t xml:space="preserve"> se </w:t>
      </w:r>
      <w:r w:rsidR="00AF56AC" w:rsidRPr="00E95F02">
        <w:rPr>
          <w:lang w:val="ro-RO"/>
        </w:rPr>
        <w:t xml:space="preserve">desfășoară </w:t>
      </w:r>
      <w:r w:rsidRPr="00E95F02">
        <w:rPr>
          <w:lang w:val="ro-RO"/>
        </w:rPr>
        <w:t>la începutul lunii decembrie din anul anterior etapei finale</w:t>
      </w:r>
      <w:r w:rsidR="00A53271">
        <w:rPr>
          <w:lang w:val="ro-RO"/>
        </w:rPr>
        <w:t>. La această etapă participă toți cei interesați.</w:t>
      </w:r>
    </w:p>
    <w:p w:rsidR="00AF56AC" w:rsidRPr="005765BD" w:rsidRDefault="00AF56AC" w:rsidP="00862C6E">
      <w:pPr>
        <w:pStyle w:val="ListParagraph"/>
        <w:numPr>
          <w:ilvl w:val="1"/>
          <w:numId w:val="2"/>
        </w:numPr>
      </w:pPr>
      <w:r w:rsidRPr="00E95F02">
        <w:rPr>
          <w:rFonts w:ascii="UT Sans Medium" w:hAnsi="UT Sans Medium"/>
          <w:lang w:val="ro-RO"/>
        </w:rPr>
        <w:t>etapa finală</w:t>
      </w:r>
      <w:r w:rsidRPr="00E95F02">
        <w:rPr>
          <w:lang w:val="ro-RO"/>
        </w:rPr>
        <w:t xml:space="preserve"> care are loc într-un centru universitar selectat de comitetul director cu cel puțin un an înainte de concurs</w:t>
      </w:r>
      <w:r w:rsidR="00E95F02" w:rsidRPr="00E95F02">
        <w:rPr>
          <w:lang w:val="ro-RO"/>
        </w:rPr>
        <w:t xml:space="preserve"> și se </w:t>
      </w:r>
      <w:r w:rsidRPr="00E95F02">
        <w:rPr>
          <w:lang w:val="ro-RO"/>
        </w:rPr>
        <w:t xml:space="preserve">desfășoară în </w:t>
      </w:r>
      <w:r w:rsidR="00E95F02">
        <w:rPr>
          <w:lang w:val="ro-RO"/>
        </w:rPr>
        <w:t>luna</w:t>
      </w:r>
      <w:r w:rsidRPr="00E95F02">
        <w:rPr>
          <w:lang w:val="ro-RO"/>
        </w:rPr>
        <w:t xml:space="preserve"> aprilie a fiecărui an</w:t>
      </w:r>
      <w:r w:rsidR="00E95F02">
        <w:rPr>
          <w:lang w:val="ro-RO"/>
        </w:rPr>
        <w:t>.</w:t>
      </w:r>
      <w:r w:rsidR="00A53271">
        <w:rPr>
          <w:lang w:val="ro-RO"/>
        </w:rPr>
        <w:t xml:space="preserve"> La această etapă participă primii 3 calificați la faza locală.</w:t>
      </w:r>
    </w:p>
    <w:p w:rsidR="005765BD" w:rsidRPr="00B83CE3" w:rsidRDefault="00802403">
      <w:pPr>
        <w:rPr>
          <w:rFonts w:ascii="UT Sans Medium" w:hAnsi="UT Sans Medium"/>
          <w:color w:val="0070C0"/>
        </w:rPr>
      </w:pPr>
      <w:r w:rsidRPr="00B83CE3">
        <w:rPr>
          <w:rFonts w:ascii="UT Sans Medium" w:hAnsi="UT Sans Medium"/>
          <w:color w:val="0070C0"/>
        </w:rPr>
        <w:t>Cum se desfășoară pregătirea celor interesați?</w:t>
      </w:r>
    </w:p>
    <w:p w:rsidR="00802403" w:rsidRDefault="00802403" w:rsidP="00802403">
      <w:pPr>
        <w:pStyle w:val="ListParagraph"/>
        <w:numPr>
          <w:ilvl w:val="0"/>
          <w:numId w:val="2"/>
        </w:numPr>
      </w:pPr>
      <w:r>
        <w:t>Prin studiu și muncă individuale, cu întâlniri periodice cu cei doi coordonatori ai concursului, conf.dr.ing. Gheorghe PANĂ și șef lucr.dr.ing. Marius CARP</w:t>
      </w:r>
      <w:r w:rsidR="00A53271">
        <w:t>;</w:t>
      </w:r>
    </w:p>
    <w:p w:rsidR="00A53271" w:rsidRDefault="00A53271" w:rsidP="00802403">
      <w:pPr>
        <w:pStyle w:val="ListParagraph"/>
        <w:numPr>
          <w:ilvl w:val="0"/>
          <w:numId w:val="2"/>
        </w:numPr>
      </w:pPr>
      <w:r>
        <w:t>Până la faza locală trebuie cunoscute:</w:t>
      </w:r>
    </w:p>
    <w:p w:rsidR="00A53271" w:rsidRDefault="000F731C" w:rsidP="00A53271">
      <w:pPr>
        <w:pStyle w:val="ListParagraph"/>
        <w:numPr>
          <w:ilvl w:val="1"/>
          <w:numId w:val="2"/>
        </w:numPr>
      </w:pPr>
      <w:r>
        <w:t>Proiectarea CAD a circuitelor electronice (</w:t>
      </w:r>
      <w:r w:rsidR="00EC3361">
        <w:t>schema</w:t>
      </w:r>
      <w:r>
        <w:t>)</w:t>
      </w:r>
      <w:r w:rsidR="00A53271">
        <w:t>,</w:t>
      </w:r>
    </w:p>
    <w:p w:rsidR="00A53271" w:rsidRDefault="000F1D71" w:rsidP="00A53271">
      <w:pPr>
        <w:pStyle w:val="ListParagraph"/>
        <w:numPr>
          <w:ilvl w:val="1"/>
          <w:numId w:val="2"/>
        </w:numPr>
      </w:pPr>
      <w:r>
        <w:t>Crearea de componente virtuale</w:t>
      </w:r>
      <w:r w:rsidR="00A53271">
        <w:t xml:space="preserve"> (part-uri)</w:t>
      </w:r>
    </w:p>
    <w:p w:rsidR="000F1D71" w:rsidRDefault="000F1D71" w:rsidP="00A53271">
      <w:pPr>
        <w:pStyle w:val="ListParagraph"/>
        <w:numPr>
          <w:ilvl w:val="1"/>
          <w:numId w:val="2"/>
        </w:numPr>
      </w:pPr>
      <w:r>
        <w:rPr>
          <w:lang w:val="ro-RO"/>
        </w:rPr>
        <w:t xml:space="preserve">Postprocesarea </w:t>
      </w:r>
      <w:r w:rsidR="009D48F3">
        <w:rPr>
          <w:lang w:val="ro-RO"/>
        </w:rPr>
        <w:t xml:space="preserve">schemei </w:t>
      </w:r>
      <w:bookmarkStart w:id="0" w:name="_GoBack"/>
      <w:bookmarkEnd w:id="0"/>
      <w:r>
        <w:rPr>
          <w:lang w:val="ro-RO"/>
        </w:rPr>
        <w:t>(generarea listelor de conexiune - netlist, rapoarte, fișiere de export / import, fișiere de post-procesare pentru documentația tehnică);</w:t>
      </w:r>
    </w:p>
    <w:p w:rsidR="000F1D71" w:rsidRDefault="00A53271" w:rsidP="00A53271">
      <w:pPr>
        <w:pStyle w:val="ListParagraph"/>
        <w:numPr>
          <w:ilvl w:val="0"/>
          <w:numId w:val="2"/>
        </w:numPr>
      </w:pPr>
      <w:r>
        <w:t>Cei 3 calificați la faza finală vor continua pregătirea</w:t>
      </w:r>
      <w:r w:rsidR="00EC3361">
        <w:t>, tot prin efort propriu și cu asistență periodică din partea specialiștilor din industrie, în special pentru:</w:t>
      </w:r>
    </w:p>
    <w:p w:rsidR="000F1D71" w:rsidRPr="000F1D71" w:rsidRDefault="000F1D71" w:rsidP="000F1D71">
      <w:pPr>
        <w:pStyle w:val="ListParagraph"/>
        <w:numPr>
          <w:ilvl w:val="1"/>
          <w:numId w:val="2"/>
        </w:numPr>
      </w:pPr>
      <w:r>
        <w:rPr>
          <w:lang w:val="ro-RO"/>
        </w:rPr>
        <w:t>Proiectarea CAD a structurilor de interconexiune pe plăci (PCB</w:t>
      </w:r>
      <w:r w:rsidR="00EC3361">
        <w:rPr>
          <w:lang w:val="ro-RO"/>
        </w:rPr>
        <w:t>)</w:t>
      </w:r>
      <w:r>
        <w:rPr>
          <w:lang w:val="ro-RO"/>
        </w:rPr>
        <w:t>;</w:t>
      </w:r>
    </w:p>
    <w:p w:rsidR="000F1D71" w:rsidRPr="000F1D71" w:rsidRDefault="000F1D71" w:rsidP="000F1D71">
      <w:pPr>
        <w:pStyle w:val="ListParagraph"/>
        <w:numPr>
          <w:ilvl w:val="1"/>
          <w:numId w:val="2"/>
        </w:numPr>
      </w:pPr>
      <w:r>
        <w:rPr>
          <w:lang w:val="ro-RO"/>
        </w:rPr>
        <w:t>Crearea amprentelor PCB;</w:t>
      </w:r>
    </w:p>
    <w:p w:rsidR="000F1D71" w:rsidRDefault="000F1D71" w:rsidP="000F1D71">
      <w:pPr>
        <w:pStyle w:val="ListParagraph"/>
        <w:numPr>
          <w:ilvl w:val="1"/>
          <w:numId w:val="2"/>
        </w:numPr>
      </w:pPr>
      <w:r>
        <w:rPr>
          <w:lang w:val="ro-RO"/>
        </w:rPr>
        <w:t>Tehnici profesionale de comunicare inter-instrumentale între mediile schemă și PCB</w:t>
      </w:r>
    </w:p>
    <w:p w:rsidR="00EC3361" w:rsidRDefault="00EC3361" w:rsidP="000F1D71">
      <w:pPr>
        <w:pStyle w:val="ListParagraph"/>
        <w:numPr>
          <w:ilvl w:val="1"/>
          <w:numId w:val="2"/>
        </w:numPr>
      </w:pPr>
      <w:r>
        <w:rPr>
          <w:lang w:val="ro-RO"/>
        </w:rPr>
        <w:t>Postprocesarea PCB-urilor (generarea listelor de conexiuni, rapoarte, fișiere de export / import, fișiere post-procesare pentru documentația tehnică și fabricație);</w:t>
      </w:r>
    </w:p>
    <w:p w:rsidR="00A53271" w:rsidRPr="00EC3361" w:rsidRDefault="00EC3361" w:rsidP="000F1D71">
      <w:pPr>
        <w:pStyle w:val="ListParagraph"/>
        <w:numPr>
          <w:ilvl w:val="1"/>
          <w:numId w:val="2"/>
        </w:numPr>
      </w:pPr>
      <w:r>
        <w:rPr>
          <w:lang w:val="ro-RO"/>
        </w:rPr>
        <w:t>Elemente de standardizare pentru proiectarea PCB;</w:t>
      </w:r>
    </w:p>
    <w:p w:rsidR="00EC3361" w:rsidRDefault="00EC3361" w:rsidP="000F1D71">
      <w:pPr>
        <w:pStyle w:val="ListParagraph"/>
        <w:numPr>
          <w:ilvl w:val="1"/>
          <w:numId w:val="2"/>
        </w:numPr>
      </w:pPr>
      <w:r>
        <w:rPr>
          <w:lang w:val="ro-RO"/>
        </w:rPr>
        <w:t>Elemente de design analogic, digital și mixt.</w:t>
      </w:r>
    </w:p>
    <w:p w:rsidR="00802403" w:rsidRPr="00B83CE3" w:rsidRDefault="00802403">
      <w:pPr>
        <w:rPr>
          <w:rFonts w:ascii="UT Sans Medium" w:hAnsi="UT Sans Medium"/>
          <w:color w:val="0070C0"/>
        </w:rPr>
      </w:pPr>
      <w:r w:rsidRPr="00B83CE3">
        <w:rPr>
          <w:rFonts w:ascii="UT Sans Medium" w:hAnsi="UT Sans Medium"/>
          <w:color w:val="0070C0"/>
        </w:rPr>
        <w:t>Cine po</w:t>
      </w:r>
      <w:r w:rsidR="0059220D" w:rsidRPr="00B83CE3">
        <w:rPr>
          <w:rFonts w:ascii="UT Sans Medium" w:hAnsi="UT Sans Medium"/>
          <w:color w:val="0070C0"/>
        </w:rPr>
        <w:t>a</w:t>
      </w:r>
      <w:r w:rsidRPr="00B83CE3">
        <w:rPr>
          <w:rFonts w:ascii="UT Sans Medium" w:hAnsi="UT Sans Medium"/>
          <w:color w:val="0070C0"/>
        </w:rPr>
        <w:t>t</w:t>
      </w:r>
      <w:r w:rsidR="0059220D" w:rsidRPr="00B83CE3">
        <w:rPr>
          <w:rFonts w:ascii="UT Sans Medium" w:hAnsi="UT Sans Medium"/>
          <w:color w:val="0070C0"/>
        </w:rPr>
        <w:t>e</w:t>
      </w:r>
      <w:r w:rsidRPr="00B83CE3">
        <w:rPr>
          <w:rFonts w:ascii="UT Sans Medium" w:hAnsi="UT Sans Medium"/>
          <w:color w:val="0070C0"/>
        </w:rPr>
        <w:t xml:space="preserve"> participa la concurs?</w:t>
      </w:r>
    </w:p>
    <w:p w:rsidR="00802403" w:rsidRDefault="00802403" w:rsidP="00802403">
      <w:pPr>
        <w:pStyle w:val="ListParagraph"/>
        <w:numPr>
          <w:ilvl w:val="0"/>
          <w:numId w:val="2"/>
        </w:numPr>
      </w:pPr>
      <w:r>
        <w:t xml:space="preserve">Studenți atrași de </w:t>
      </w:r>
      <w:r>
        <w:rPr>
          <w:lang w:val="ro-RO"/>
        </w:rPr>
        <w:t>domeniul proiectării tehnologice asistate de calculator a plăcilor de circuite imprimate (PCB) și a modulelor electronice</w:t>
      </w:r>
      <w:r w:rsidR="00A53271">
        <w:rPr>
          <w:lang w:val="ro-RO"/>
        </w:rPr>
        <w:t>, fie pentru a învăța</w:t>
      </w:r>
      <w:r w:rsidR="0059220D">
        <w:rPr>
          <w:lang w:val="ro-RO"/>
        </w:rPr>
        <w:t>,</w:t>
      </w:r>
      <w:r w:rsidR="00A53271">
        <w:rPr>
          <w:lang w:val="ro-RO"/>
        </w:rPr>
        <w:t xml:space="preserve"> fie pentru a aprofunda cunoștințele din acest domeniu.</w:t>
      </w:r>
    </w:p>
    <w:p w:rsidR="00802403" w:rsidRPr="00B83CE3" w:rsidRDefault="00B83CE3">
      <w:pPr>
        <w:rPr>
          <w:rFonts w:ascii="UT Sans Medium" w:hAnsi="UT Sans Medium"/>
          <w:color w:val="0070C0"/>
        </w:rPr>
      </w:pPr>
      <w:r w:rsidRPr="00B83CE3">
        <w:rPr>
          <w:rFonts w:ascii="UT Sans Medium" w:hAnsi="UT Sans Medium"/>
          <w:color w:val="0070C0"/>
        </w:rPr>
        <w:t>De ce este nevoie?</w:t>
      </w:r>
    </w:p>
    <w:p w:rsidR="00B83CE3" w:rsidRDefault="00B83CE3" w:rsidP="00B83CE3">
      <w:pPr>
        <w:pStyle w:val="ListParagraph"/>
        <w:numPr>
          <w:ilvl w:val="0"/>
          <w:numId w:val="2"/>
        </w:numPr>
      </w:pPr>
      <w:r>
        <w:t>Dorința și voința fiecărui participant de a se pregăti în ritm constant</w:t>
      </w:r>
      <w:r w:rsidR="002F426D">
        <w:t>;</w:t>
      </w:r>
    </w:p>
    <w:p w:rsidR="00B83CE3" w:rsidRPr="005765BD" w:rsidRDefault="00B83CE3" w:rsidP="0046717A">
      <w:pPr>
        <w:pStyle w:val="ListParagraph"/>
        <w:numPr>
          <w:ilvl w:val="0"/>
          <w:numId w:val="2"/>
        </w:numPr>
      </w:pPr>
      <w:r>
        <w:t>Laptop cu un soft agreat de concurs</w:t>
      </w:r>
      <w:r w:rsidR="002F426D">
        <w:t xml:space="preserve"> (Cadence OrCAD, Altium Designer, Proteus, Eagle).</w:t>
      </w:r>
    </w:p>
    <w:sectPr w:rsidR="00B83CE3" w:rsidRPr="005765BD" w:rsidSect="00E666A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T Sans Med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9628C"/>
    <w:multiLevelType w:val="hybridMultilevel"/>
    <w:tmpl w:val="5BB8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F5110"/>
    <w:multiLevelType w:val="hybridMultilevel"/>
    <w:tmpl w:val="2A64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072B98"/>
    <w:rsid w:val="000F1D71"/>
    <w:rsid w:val="000F731C"/>
    <w:rsid w:val="001669A9"/>
    <w:rsid w:val="001773E5"/>
    <w:rsid w:val="002115B5"/>
    <w:rsid w:val="002F426D"/>
    <w:rsid w:val="00514E96"/>
    <w:rsid w:val="005765BD"/>
    <w:rsid w:val="0059220D"/>
    <w:rsid w:val="00802403"/>
    <w:rsid w:val="008D4214"/>
    <w:rsid w:val="008F1553"/>
    <w:rsid w:val="009D48F3"/>
    <w:rsid w:val="00A53271"/>
    <w:rsid w:val="00AF56AC"/>
    <w:rsid w:val="00B83CE3"/>
    <w:rsid w:val="00B87DBB"/>
    <w:rsid w:val="00BB2095"/>
    <w:rsid w:val="00C6042A"/>
    <w:rsid w:val="00CA0B46"/>
    <w:rsid w:val="00CC4131"/>
    <w:rsid w:val="00D753C4"/>
    <w:rsid w:val="00DE7850"/>
    <w:rsid w:val="00E666A6"/>
    <w:rsid w:val="00E95F02"/>
    <w:rsid w:val="00E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F632"/>
  <w15:chartTrackingRefBased/>
  <w15:docId w15:val="{7288E0F0-44F4-4E63-A581-17A28A67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T Sans" w:eastAsiaTheme="minorHAnsi" w:hAnsi="UT San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65B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5BD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57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</dc:creator>
  <cp:keywords/>
  <dc:description/>
  <cp:lastModifiedBy>Gyuri</cp:lastModifiedBy>
  <cp:revision>19</cp:revision>
  <dcterms:created xsi:type="dcterms:W3CDTF">2018-10-20T17:21:00Z</dcterms:created>
  <dcterms:modified xsi:type="dcterms:W3CDTF">2018-10-20T18:58:00Z</dcterms:modified>
</cp:coreProperties>
</file>